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161884C7"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9D457E">
        <w:rPr>
          <w:rFonts w:ascii="Times New Roman" w:hAnsi="Times New Roman" w:cs="Times New Roman"/>
          <w:sz w:val="24"/>
          <w:szCs w:val="24"/>
        </w:rPr>
        <w:t>9-1</w:t>
      </w:r>
      <w:r w:rsidR="0016467A">
        <w:rPr>
          <w:rFonts w:ascii="Times New Roman" w:hAnsi="Times New Roman" w:cs="Times New Roman"/>
          <w:sz w:val="24"/>
          <w:szCs w:val="24"/>
        </w:rPr>
        <w:t>-2021</w:t>
      </w:r>
    </w:p>
    <w:p w14:paraId="21F8AB87" w14:textId="5BD92AAA" w:rsidR="00A37613" w:rsidRDefault="00A37613" w:rsidP="00EC39D3">
      <w:pPr>
        <w:pStyle w:val="NoSpacing"/>
        <w:rPr>
          <w:rFonts w:ascii="Times New Roman" w:hAnsi="Times New Roman" w:cs="Times New Roman"/>
          <w:sz w:val="24"/>
          <w:szCs w:val="24"/>
        </w:rPr>
      </w:pPr>
    </w:p>
    <w:p w14:paraId="3546A6AE" w14:textId="5556A29C" w:rsidR="00A37613" w:rsidRPr="00463C95" w:rsidRDefault="000113D9" w:rsidP="00EC39D3">
      <w:pPr>
        <w:pStyle w:val="NoSpacing"/>
        <w:rPr>
          <w:rFonts w:ascii="Times New Roman" w:hAnsi="Times New Roman" w:cs="Times New Roman"/>
          <w:b/>
          <w:bCs/>
          <w:sz w:val="24"/>
          <w:szCs w:val="24"/>
        </w:rPr>
      </w:pPr>
      <w:r>
        <w:rPr>
          <w:rFonts w:ascii="Times New Roman" w:hAnsi="Times New Roman" w:cs="Times New Roman"/>
          <w:b/>
          <w:bCs/>
          <w:sz w:val="24"/>
          <w:szCs w:val="24"/>
        </w:rPr>
        <w:t>Geopolitics and Delta, Where Do We Go From Here</w:t>
      </w:r>
      <w:r w:rsidR="009D457E">
        <w:rPr>
          <w:rFonts w:ascii="Times New Roman" w:hAnsi="Times New Roman" w:cs="Times New Roman"/>
          <w:b/>
          <w:bCs/>
          <w:sz w:val="24"/>
          <w:szCs w:val="24"/>
        </w:rPr>
        <w:t xml:space="preserve"> II</w:t>
      </w:r>
      <w:r w:rsidR="00133B86">
        <w:rPr>
          <w:rFonts w:ascii="Times New Roman" w:hAnsi="Times New Roman" w:cs="Times New Roman"/>
          <w:b/>
          <w:bCs/>
          <w:sz w:val="24"/>
          <w:szCs w:val="24"/>
        </w:rPr>
        <w:t>?</w:t>
      </w:r>
    </w:p>
    <w:p w14:paraId="75E018E2" w14:textId="77777777" w:rsidR="00D14DF6" w:rsidRDefault="00D14DF6" w:rsidP="00EC39D3">
      <w:pPr>
        <w:pStyle w:val="NoSpacing"/>
        <w:rPr>
          <w:rFonts w:ascii="Times New Roman" w:hAnsi="Times New Roman" w:cs="Times New Roman"/>
          <w:sz w:val="24"/>
          <w:szCs w:val="24"/>
        </w:rPr>
      </w:pPr>
    </w:p>
    <w:p w14:paraId="0F1EAC60" w14:textId="19D96A49" w:rsidR="00B7166E" w:rsidRDefault="009D457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The Afghanistan pullout took a turn for the worse with the bombing at Abbey Gate and the deaths of thirteen U.S. military personnel and hundreds of Afghans.  Having a son on active duty with the Marines, its getting a little personal to me.  He is deployed to another part of the </w:t>
      </w:r>
      <w:r w:rsidR="00DC408C">
        <w:rPr>
          <w:rFonts w:ascii="Times New Roman" w:hAnsi="Times New Roman" w:cs="Times New Roman"/>
          <w:sz w:val="24"/>
          <w:szCs w:val="24"/>
        </w:rPr>
        <w:t>world,</w:t>
      </w:r>
      <w:r>
        <w:rPr>
          <w:rFonts w:ascii="Times New Roman" w:hAnsi="Times New Roman" w:cs="Times New Roman"/>
          <w:sz w:val="24"/>
          <w:szCs w:val="24"/>
        </w:rPr>
        <w:t xml:space="preserve"> so he is not in imminent danger, yet.  Revelations </w:t>
      </w:r>
      <w:r w:rsidR="00B7166E">
        <w:rPr>
          <w:rFonts w:ascii="Times New Roman" w:hAnsi="Times New Roman" w:cs="Times New Roman"/>
          <w:sz w:val="24"/>
          <w:szCs w:val="24"/>
        </w:rPr>
        <w:t xml:space="preserve">about decisions made before and during the withdrawal/bombing </w:t>
      </w:r>
      <w:r>
        <w:rPr>
          <w:rFonts w:ascii="Times New Roman" w:hAnsi="Times New Roman" w:cs="Times New Roman"/>
          <w:sz w:val="24"/>
          <w:szCs w:val="24"/>
        </w:rPr>
        <w:t>are beginning to surface that are not friendly to the current administration</w:t>
      </w:r>
      <w:r w:rsidR="00B7166E">
        <w:rPr>
          <w:rFonts w:ascii="Times New Roman" w:hAnsi="Times New Roman" w:cs="Times New Roman"/>
          <w:sz w:val="24"/>
          <w:szCs w:val="24"/>
        </w:rPr>
        <w:t>.</w:t>
      </w:r>
      <w:r>
        <w:rPr>
          <w:rFonts w:ascii="Times New Roman" w:hAnsi="Times New Roman" w:cs="Times New Roman"/>
          <w:sz w:val="24"/>
          <w:szCs w:val="24"/>
        </w:rPr>
        <w:t xml:space="preserve"> </w:t>
      </w:r>
      <w:r w:rsidR="00B7166E">
        <w:rPr>
          <w:rFonts w:ascii="Times New Roman" w:hAnsi="Times New Roman" w:cs="Times New Roman"/>
          <w:sz w:val="24"/>
          <w:szCs w:val="24"/>
        </w:rPr>
        <w:t>Weakened presidencies and their administrations present a risk to the economy and financial markets.  Time will tell if these events impact the current administration</w:t>
      </w:r>
      <w:r w:rsidR="00E11B83">
        <w:rPr>
          <w:rFonts w:ascii="Times New Roman" w:hAnsi="Times New Roman" w:cs="Times New Roman"/>
          <w:sz w:val="24"/>
          <w:szCs w:val="24"/>
        </w:rPr>
        <w:t>,</w:t>
      </w:r>
      <w:r w:rsidR="00B7166E">
        <w:rPr>
          <w:rFonts w:ascii="Times New Roman" w:hAnsi="Times New Roman" w:cs="Times New Roman"/>
          <w:sz w:val="24"/>
          <w:szCs w:val="24"/>
        </w:rPr>
        <w:t xml:space="preserve"> and we follow historical precedent into a period of heightened volatility and economic uncertainty.  </w:t>
      </w:r>
    </w:p>
    <w:p w14:paraId="53B8FC2C" w14:textId="77777777" w:rsidR="00B7166E" w:rsidRDefault="00B7166E" w:rsidP="00EC39D3">
      <w:pPr>
        <w:pStyle w:val="NoSpacing"/>
        <w:rPr>
          <w:rFonts w:ascii="Times New Roman" w:hAnsi="Times New Roman" w:cs="Times New Roman"/>
          <w:sz w:val="24"/>
          <w:szCs w:val="24"/>
        </w:rPr>
      </w:pPr>
    </w:p>
    <w:p w14:paraId="66BB9FC9" w14:textId="402B8CC7" w:rsidR="00D83C34" w:rsidRDefault="002A5739" w:rsidP="00D83C34">
      <w:pPr>
        <w:pStyle w:val="NoSpacing"/>
        <w:rPr>
          <w:rFonts w:ascii="Times New Roman" w:hAnsi="Times New Roman" w:cs="Times New Roman"/>
          <w:sz w:val="24"/>
          <w:szCs w:val="24"/>
        </w:rPr>
      </w:pPr>
      <w:r>
        <w:rPr>
          <w:rFonts w:ascii="Times New Roman" w:hAnsi="Times New Roman" w:cs="Times New Roman"/>
          <w:sz w:val="24"/>
          <w:szCs w:val="24"/>
        </w:rPr>
        <w:t>Hospitalizations in San Diego County and California are at about 3</w:t>
      </w:r>
      <w:r w:rsidR="00B7166E">
        <w:rPr>
          <w:rFonts w:ascii="Times New Roman" w:hAnsi="Times New Roman" w:cs="Times New Roman"/>
          <w:sz w:val="24"/>
          <w:szCs w:val="24"/>
        </w:rPr>
        <w:t>8</w:t>
      </w:r>
      <w:r>
        <w:rPr>
          <w:rFonts w:ascii="Times New Roman" w:hAnsi="Times New Roman" w:cs="Times New Roman"/>
          <w:sz w:val="24"/>
          <w:szCs w:val="24"/>
        </w:rPr>
        <w:t>% of the January 2021 peak and the rate of hospitalization of new cases (</w:t>
      </w:r>
      <w:r w:rsidR="007F78CA">
        <w:rPr>
          <w:rFonts w:ascii="Times New Roman" w:hAnsi="Times New Roman" w:cs="Times New Roman"/>
          <w:sz w:val="24"/>
          <w:szCs w:val="24"/>
        </w:rPr>
        <w:t>i.e.,</w:t>
      </w:r>
      <w:r>
        <w:rPr>
          <w:rFonts w:ascii="Times New Roman" w:hAnsi="Times New Roman" w:cs="Times New Roman"/>
          <w:sz w:val="24"/>
          <w:szCs w:val="24"/>
        </w:rPr>
        <w:t xml:space="preserve"> in the last 14 days) </w:t>
      </w:r>
      <w:r w:rsidR="00104E52">
        <w:rPr>
          <w:rFonts w:ascii="Times New Roman" w:hAnsi="Times New Roman" w:cs="Times New Roman"/>
          <w:sz w:val="24"/>
          <w:szCs w:val="24"/>
        </w:rPr>
        <w:t>has declined to less than 0.40%</w:t>
      </w:r>
      <w:r>
        <w:rPr>
          <w:rFonts w:ascii="Times New Roman" w:hAnsi="Times New Roman" w:cs="Times New Roman"/>
          <w:sz w:val="24"/>
          <w:szCs w:val="24"/>
        </w:rPr>
        <w:t xml:space="preserve">.  </w:t>
      </w:r>
      <w:r w:rsidR="00104E52">
        <w:rPr>
          <w:rFonts w:ascii="Times New Roman" w:hAnsi="Times New Roman" w:cs="Times New Roman"/>
          <w:sz w:val="24"/>
          <w:szCs w:val="24"/>
        </w:rPr>
        <w:t xml:space="preserve">San Diego County is beginning to see a decline in total Covid patients.  </w:t>
      </w:r>
      <w:r w:rsidR="00A23D74">
        <w:rPr>
          <w:rFonts w:ascii="Times New Roman" w:hAnsi="Times New Roman" w:cs="Times New Roman"/>
          <w:sz w:val="24"/>
          <w:szCs w:val="24"/>
        </w:rPr>
        <w:t>San Diego County and California c</w:t>
      </w:r>
      <w:r>
        <w:rPr>
          <w:rFonts w:ascii="Times New Roman" w:hAnsi="Times New Roman" w:cs="Times New Roman"/>
          <w:sz w:val="24"/>
          <w:szCs w:val="24"/>
        </w:rPr>
        <w:t>ase fatality rates (</w:t>
      </w:r>
      <w:r w:rsidR="007F78CA">
        <w:rPr>
          <w:rFonts w:ascii="Times New Roman" w:hAnsi="Times New Roman" w:cs="Times New Roman"/>
          <w:sz w:val="24"/>
          <w:szCs w:val="24"/>
        </w:rPr>
        <w:t>i.e.,</w:t>
      </w:r>
      <w:r>
        <w:rPr>
          <w:rFonts w:ascii="Times New Roman" w:hAnsi="Times New Roman" w:cs="Times New Roman"/>
          <w:sz w:val="24"/>
          <w:szCs w:val="24"/>
        </w:rPr>
        <w:t xml:space="preserve"> the number of covid associated deaths divided by confirmed cases) currently are </w:t>
      </w:r>
      <w:r w:rsidR="00104E52">
        <w:rPr>
          <w:rFonts w:ascii="Times New Roman" w:hAnsi="Times New Roman" w:cs="Times New Roman"/>
          <w:sz w:val="24"/>
          <w:szCs w:val="24"/>
        </w:rPr>
        <w:t>at 20% of the long-term</w:t>
      </w:r>
      <w:r>
        <w:rPr>
          <w:rFonts w:ascii="Times New Roman" w:hAnsi="Times New Roman" w:cs="Times New Roman"/>
          <w:sz w:val="24"/>
          <w:szCs w:val="24"/>
        </w:rPr>
        <w:t xml:space="preserve"> </w:t>
      </w:r>
      <w:r w:rsidR="00111810">
        <w:rPr>
          <w:rFonts w:ascii="Times New Roman" w:hAnsi="Times New Roman" w:cs="Times New Roman"/>
          <w:sz w:val="24"/>
          <w:szCs w:val="24"/>
        </w:rPr>
        <w:t xml:space="preserve">covid </w:t>
      </w:r>
      <w:r w:rsidR="001458D0">
        <w:rPr>
          <w:rFonts w:ascii="Times New Roman" w:hAnsi="Times New Roman" w:cs="Times New Roman"/>
          <w:sz w:val="24"/>
          <w:szCs w:val="24"/>
        </w:rPr>
        <w:t xml:space="preserve">fatality </w:t>
      </w:r>
      <w:r>
        <w:rPr>
          <w:rFonts w:ascii="Times New Roman" w:hAnsi="Times New Roman" w:cs="Times New Roman"/>
          <w:sz w:val="24"/>
          <w:szCs w:val="24"/>
        </w:rPr>
        <w:t xml:space="preserve">rate.  </w:t>
      </w:r>
      <w:r w:rsidR="008D6CF2">
        <w:rPr>
          <w:rFonts w:ascii="Times New Roman" w:hAnsi="Times New Roman" w:cs="Times New Roman"/>
          <w:sz w:val="24"/>
          <w:szCs w:val="24"/>
        </w:rPr>
        <w:t xml:space="preserve">Nationally, the rolling seven-day average daily cases have </w:t>
      </w:r>
      <w:r w:rsidR="00B84D77">
        <w:rPr>
          <w:rFonts w:ascii="Times New Roman" w:hAnsi="Times New Roman" w:cs="Times New Roman"/>
          <w:sz w:val="24"/>
          <w:szCs w:val="24"/>
        </w:rPr>
        <w:t>remained constant</w:t>
      </w:r>
      <w:r w:rsidR="006E4D61">
        <w:rPr>
          <w:rFonts w:ascii="Times New Roman" w:hAnsi="Times New Roman" w:cs="Times New Roman"/>
          <w:sz w:val="24"/>
          <w:szCs w:val="24"/>
        </w:rPr>
        <w:t xml:space="preserve"> over the last fourteen days possibly indicating a peak.</w:t>
      </w:r>
      <w:r w:rsidR="008D6CF2">
        <w:rPr>
          <w:rFonts w:ascii="Times New Roman" w:hAnsi="Times New Roman" w:cs="Times New Roman"/>
          <w:sz w:val="24"/>
          <w:szCs w:val="24"/>
        </w:rPr>
        <w:t xml:space="preserve">  </w:t>
      </w:r>
      <w:r w:rsidR="003F3636">
        <w:rPr>
          <w:rFonts w:ascii="Times New Roman" w:hAnsi="Times New Roman" w:cs="Times New Roman"/>
          <w:sz w:val="24"/>
          <w:szCs w:val="24"/>
        </w:rPr>
        <w:t>Total h</w:t>
      </w:r>
      <w:r w:rsidR="001458D0">
        <w:rPr>
          <w:rFonts w:ascii="Times New Roman" w:hAnsi="Times New Roman" w:cs="Times New Roman"/>
          <w:sz w:val="24"/>
          <w:szCs w:val="24"/>
        </w:rPr>
        <w:t xml:space="preserve">ospitalizations of covid-19 cases are </w:t>
      </w:r>
      <w:r w:rsidR="003F3636">
        <w:rPr>
          <w:rFonts w:ascii="Times New Roman" w:hAnsi="Times New Roman" w:cs="Times New Roman"/>
          <w:sz w:val="24"/>
          <w:szCs w:val="24"/>
        </w:rPr>
        <w:t>up but the rate of hospitalization of new cases is declining.</w:t>
      </w:r>
      <w:r w:rsidR="001458D0">
        <w:rPr>
          <w:rFonts w:ascii="Times New Roman" w:hAnsi="Times New Roman" w:cs="Times New Roman"/>
          <w:sz w:val="24"/>
          <w:szCs w:val="24"/>
        </w:rPr>
        <w:t xml:space="preserve">  The national case fatality rate similarly tracks the San Diego and California experience as well.  </w:t>
      </w:r>
      <w:r w:rsidR="00E11B83">
        <w:rPr>
          <w:rFonts w:ascii="Times New Roman" w:hAnsi="Times New Roman" w:cs="Times New Roman"/>
          <w:sz w:val="24"/>
          <w:szCs w:val="24"/>
        </w:rPr>
        <w:t xml:space="preserve">The </w:t>
      </w:r>
      <w:r w:rsidR="00DC408C">
        <w:rPr>
          <w:rFonts w:ascii="Times New Roman" w:hAnsi="Times New Roman" w:cs="Times New Roman"/>
          <w:sz w:val="24"/>
          <w:szCs w:val="24"/>
        </w:rPr>
        <w:t>consensus</w:t>
      </w:r>
      <w:r w:rsidR="003F3636">
        <w:rPr>
          <w:rFonts w:ascii="Times New Roman" w:hAnsi="Times New Roman" w:cs="Times New Roman"/>
          <w:sz w:val="24"/>
          <w:szCs w:val="24"/>
        </w:rPr>
        <w:t xml:space="preserve"> among economists and other analysts is that we may be seeing the top of the delta wave</w:t>
      </w:r>
      <w:r w:rsidR="00111810">
        <w:rPr>
          <w:rFonts w:ascii="Times New Roman" w:hAnsi="Times New Roman" w:cs="Times New Roman"/>
          <w:sz w:val="24"/>
          <w:szCs w:val="24"/>
        </w:rPr>
        <w:t xml:space="preserve"> </w:t>
      </w:r>
      <w:proofErr w:type="spellStart"/>
      <w:r w:rsidR="00111810">
        <w:rPr>
          <w:rFonts w:ascii="Times New Roman" w:hAnsi="Times New Roman" w:cs="Times New Roman"/>
          <w:sz w:val="24"/>
          <w:szCs w:val="24"/>
        </w:rPr>
        <w:t>n</w:t>
      </w:r>
      <w:proofErr w:type="spellEnd"/>
      <w:r w:rsidR="00111810">
        <w:rPr>
          <w:rFonts w:ascii="Times New Roman" w:hAnsi="Times New Roman" w:cs="Times New Roman"/>
          <w:sz w:val="24"/>
          <w:szCs w:val="24"/>
        </w:rPr>
        <w:t xml:space="preserve"> the U.S</w:t>
      </w:r>
      <w:r w:rsidR="003F3636">
        <w:rPr>
          <w:rFonts w:ascii="Times New Roman" w:hAnsi="Times New Roman" w:cs="Times New Roman"/>
          <w:sz w:val="24"/>
          <w:szCs w:val="24"/>
        </w:rPr>
        <w:t>.  If true</w:t>
      </w:r>
      <w:r w:rsidR="00E11B83">
        <w:rPr>
          <w:rFonts w:ascii="Times New Roman" w:hAnsi="Times New Roman" w:cs="Times New Roman"/>
          <w:sz w:val="24"/>
          <w:szCs w:val="24"/>
        </w:rPr>
        <w:t>,</w:t>
      </w:r>
      <w:r w:rsidR="003F3636">
        <w:rPr>
          <w:rFonts w:ascii="Times New Roman" w:hAnsi="Times New Roman" w:cs="Times New Roman"/>
          <w:sz w:val="24"/>
          <w:szCs w:val="24"/>
        </w:rPr>
        <w:t xml:space="preserve"> this would replicate the experience seen in Israel, Great </w:t>
      </w:r>
      <w:r w:rsidR="00DC408C">
        <w:rPr>
          <w:rFonts w:ascii="Times New Roman" w:hAnsi="Times New Roman" w:cs="Times New Roman"/>
          <w:sz w:val="24"/>
          <w:szCs w:val="24"/>
        </w:rPr>
        <w:t>Britain,</w:t>
      </w:r>
      <w:r w:rsidR="003F3636">
        <w:rPr>
          <w:rFonts w:ascii="Times New Roman" w:hAnsi="Times New Roman" w:cs="Times New Roman"/>
          <w:sz w:val="24"/>
          <w:szCs w:val="24"/>
        </w:rPr>
        <w:t xml:space="preserve"> and India all of which incurred the delta variant prior to the U.S.</w:t>
      </w:r>
      <w:r w:rsidR="008D6CF2">
        <w:rPr>
          <w:rFonts w:ascii="Times New Roman" w:hAnsi="Times New Roman" w:cs="Times New Roman"/>
          <w:sz w:val="24"/>
          <w:szCs w:val="24"/>
        </w:rPr>
        <w:t xml:space="preserve"> </w:t>
      </w:r>
      <w:r w:rsidR="00BA0FFB">
        <w:rPr>
          <w:rFonts w:ascii="Times New Roman" w:hAnsi="Times New Roman" w:cs="Times New Roman"/>
          <w:sz w:val="24"/>
          <w:szCs w:val="24"/>
        </w:rPr>
        <w:t xml:space="preserve"> </w:t>
      </w:r>
      <w:r w:rsidR="00716920">
        <w:rPr>
          <w:rFonts w:ascii="Times New Roman" w:hAnsi="Times New Roman" w:cs="Times New Roman"/>
          <w:sz w:val="24"/>
          <w:szCs w:val="24"/>
        </w:rPr>
        <w:t xml:space="preserve"> </w:t>
      </w:r>
    </w:p>
    <w:p w14:paraId="3F36F8CB" w14:textId="1A694BD9" w:rsidR="00CE2154" w:rsidRDefault="002707C7"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537D5">
        <w:rPr>
          <w:rFonts w:ascii="Times New Roman" w:hAnsi="Times New Roman" w:cs="Times New Roman"/>
          <w:sz w:val="24"/>
          <w:szCs w:val="24"/>
        </w:rPr>
        <w:t xml:space="preserve"> </w:t>
      </w:r>
      <w:r w:rsidR="002E10EA">
        <w:rPr>
          <w:rFonts w:ascii="Times New Roman" w:hAnsi="Times New Roman" w:cs="Times New Roman"/>
          <w:sz w:val="24"/>
          <w:szCs w:val="24"/>
        </w:rPr>
        <w:t xml:space="preserve">  </w:t>
      </w:r>
    </w:p>
    <w:p w14:paraId="048644E7" w14:textId="2AC3C147" w:rsidR="009831DC" w:rsidRDefault="00E11B83" w:rsidP="009831DC">
      <w:pPr>
        <w:pStyle w:val="NoSpacing"/>
        <w:rPr>
          <w:rFonts w:ascii="Times New Roman" w:hAnsi="Times New Roman" w:cs="Times New Roman"/>
          <w:sz w:val="24"/>
          <w:szCs w:val="24"/>
        </w:rPr>
      </w:pPr>
      <w:r>
        <w:rPr>
          <w:rFonts w:ascii="Times New Roman" w:hAnsi="Times New Roman" w:cs="Times New Roman"/>
          <w:sz w:val="24"/>
          <w:szCs w:val="24"/>
        </w:rPr>
        <w:t xml:space="preserve">The most significant economic news of the past week is that coming from the Jackson Hole, Wyoming virtual summit held by the Federal Reserve and its member institutions.  Specifically, Chairman Powell noted that the Fed is likely to begin tapering its monthly $120 billion bond buying </w:t>
      </w:r>
      <w:r w:rsidR="00111810">
        <w:rPr>
          <w:rFonts w:ascii="Times New Roman" w:hAnsi="Times New Roman" w:cs="Times New Roman"/>
          <w:sz w:val="24"/>
          <w:szCs w:val="24"/>
        </w:rPr>
        <w:t xml:space="preserve">program </w:t>
      </w:r>
      <w:r>
        <w:rPr>
          <w:rFonts w:ascii="Times New Roman" w:hAnsi="Times New Roman" w:cs="Times New Roman"/>
          <w:sz w:val="24"/>
          <w:szCs w:val="24"/>
        </w:rPr>
        <w:t xml:space="preserve">by the end of this year.  However, interest rate hikes are not likely until 2023.  </w:t>
      </w:r>
      <w:r w:rsidR="004E4C6C">
        <w:rPr>
          <w:rFonts w:ascii="Times New Roman" w:hAnsi="Times New Roman" w:cs="Times New Roman"/>
          <w:sz w:val="24"/>
          <w:szCs w:val="24"/>
        </w:rPr>
        <w:t>Also noted was that jobs are recovering but still have further to go.  Inflation remains high but the Fed is still confident that recent trends are transitory.  This is based on evidence that inflation is mostly occurring on a narrow group of goods and services affected most by the pandemic and the reopening of the economy.  Additionally, the Fed is not seeing any significant wage-price spiral indicating wage increases are not a material factor in inflation measures so far.</w:t>
      </w:r>
    </w:p>
    <w:p w14:paraId="781E44DD" w14:textId="3C44C3A7" w:rsidR="00892AB8" w:rsidRDefault="00892AB8" w:rsidP="009831DC">
      <w:pPr>
        <w:pStyle w:val="NoSpacing"/>
        <w:rPr>
          <w:rFonts w:ascii="Times New Roman" w:hAnsi="Times New Roman" w:cs="Times New Roman"/>
          <w:sz w:val="24"/>
          <w:szCs w:val="24"/>
        </w:rPr>
      </w:pPr>
    </w:p>
    <w:p w14:paraId="02DD5A5C" w14:textId="35ABCCCB" w:rsidR="004E4C6C" w:rsidRDefault="004E4C6C" w:rsidP="009831DC">
      <w:pPr>
        <w:pStyle w:val="NoSpacing"/>
        <w:rPr>
          <w:rFonts w:ascii="Times New Roman" w:hAnsi="Times New Roman" w:cs="Times New Roman"/>
          <w:sz w:val="24"/>
          <w:szCs w:val="24"/>
        </w:rPr>
      </w:pPr>
      <w:r>
        <w:rPr>
          <w:rFonts w:ascii="Times New Roman" w:hAnsi="Times New Roman" w:cs="Times New Roman"/>
          <w:sz w:val="24"/>
          <w:szCs w:val="24"/>
        </w:rPr>
        <w:t xml:space="preserve">Surveys still indicate GDP estimates for 2021 remain above 6% growth.  Consumer confidence remains stable and cash levels are significantly above </w:t>
      </w:r>
      <w:r w:rsidR="00547325">
        <w:rPr>
          <w:rFonts w:ascii="Times New Roman" w:hAnsi="Times New Roman" w:cs="Times New Roman"/>
          <w:sz w:val="24"/>
          <w:szCs w:val="24"/>
        </w:rPr>
        <w:t xml:space="preserve">long-term averages.  Corporate earnings growth averaged over 45% in the second quarter.  However, manufacturing and services purchasing managers indexes hit short-term lows although both measures remain well in expansion territory.  Consumer retail spending continues to </w:t>
      </w:r>
      <w:r w:rsidR="00DC408C">
        <w:rPr>
          <w:rFonts w:ascii="Times New Roman" w:hAnsi="Times New Roman" w:cs="Times New Roman"/>
          <w:sz w:val="24"/>
          <w:szCs w:val="24"/>
        </w:rPr>
        <w:t>increase,</w:t>
      </w:r>
      <w:r w:rsidR="00547325">
        <w:rPr>
          <w:rFonts w:ascii="Times New Roman" w:hAnsi="Times New Roman" w:cs="Times New Roman"/>
          <w:sz w:val="24"/>
          <w:szCs w:val="24"/>
        </w:rPr>
        <w:t xml:space="preserve"> and corporate spending plans are growing as well.  Risks remain in the form of reduced fiscal stimulus, </w:t>
      </w:r>
      <w:r w:rsidR="00445571">
        <w:rPr>
          <w:rFonts w:ascii="Times New Roman" w:hAnsi="Times New Roman" w:cs="Times New Roman"/>
          <w:sz w:val="24"/>
          <w:szCs w:val="24"/>
        </w:rPr>
        <w:t xml:space="preserve">higher stock market valuations, </w:t>
      </w:r>
      <w:r w:rsidR="00547325">
        <w:rPr>
          <w:rFonts w:ascii="Times New Roman" w:hAnsi="Times New Roman" w:cs="Times New Roman"/>
          <w:sz w:val="24"/>
          <w:szCs w:val="24"/>
        </w:rPr>
        <w:t>the ending of mortgage forbear</w:t>
      </w:r>
      <w:r w:rsidR="00445571">
        <w:rPr>
          <w:rFonts w:ascii="Times New Roman" w:hAnsi="Times New Roman" w:cs="Times New Roman"/>
          <w:sz w:val="24"/>
          <w:szCs w:val="24"/>
        </w:rPr>
        <w:t>a</w:t>
      </w:r>
      <w:r w:rsidR="00547325">
        <w:rPr>
          <w:rFonts w:ascii="Times New Roman" w:hAnsi="Times New Roman" w:cs="Times New Roman"/>
          <w:sz w:val="24"/>
          <w:szCs w:val="24"/>
        </w:rPr>
        <w:t xml:space="preserve">nce on September 30, stickiness of inflation, the delta variant not to mention domestic and geopolitical issues associated with recent events.  Nevertheless, the underlying </w:t>
      </w:r>
      <w:r w:rsidR="00445571">
        <w:rPr>
          <w:rFonts w:ascii="Times New Roman" w:hAnsi="Times New Roman" w:cs="Times New Roman"/>
          <w:sz w:val="24"/>
          <w:szCs w:val="24"/>
        </w:rPr>
        <w:t xml:space="preserve">economic </w:t>
      </w:r>
      <w:r w:rsidR="00547325">
        <w:rPr>
          <w:rFonts w:ascii="Times New Roman" w:hAnsi="Times New Roman" w:cs="Times New Roman"/>
          <w:sz w:val="24"/>
          <w:szCs w:val="24"/>
        </w:rPr>
        <w:t xml:space="preserve">fundamentals remain strong both </w:t>
      </w:r>
      <w:r w:rsidR="00445571">
        <w:rPr>
          <w:rFonts w:ascii="Times New Roman" w:hAnsi="Times New Roman" w:cs="Times New Roman"/>
          <w:sz w:val="24"/>
          <w:szCs w:val="24"/>
        </w:rPr>
        <w:t xml:space="preserve">in the U.S. and globally.  The next six to twelve months should see relative gains in the equity markets but </w:t>
      </w:r>
      <w:r w:rsidR="00111810">
        <w:rPr>
          <w:rFonts w:ascii="Times New Roman" w:hAnsi="Times New Roman" w:cs="Times New Roman"/>
          <w:sz w:val="24"/>
          <w:szCs w:val="24"/>
        </w:rPr>
        <w:t>re</w:t>
      </w:r>
      <w:r w:rsidR="00445571">
        <w:rPr>
          <w:rFonts w:ascii="Times New Roman" w:hAnsi="Times New Roman" w:cs="Times New Roman"/>
          <w:sz w:val="24"/>
          <w:szCs w:val="24"/>
        </w:rPr>
        <w:t>main</w:t>
      </w:r>
      <w:r w:rsidR="00111810">
        <w:rPr>
          <w:rFonts w:ascii="Times New Roman" w:hAnsi="Times New Roman" w:cs="Times New Roman"/>
          <w:sz w:val="24"/>
          <w:szCs w:val="24"/>
        </w:rPr>
        <w:t>s</w:t>
      </w:r>
      <w:r w:rsidR="00445571">
        <w:rPr>
          <w:rFonts w:ascii="Times New Roman" w:hAnsi="Times New Roman" w:cs="Times New Roman"/>
          <w:sz w:val="24"/>
          <w:szCs w:val="24"/>
        </w:rPr>
        <w:t xml:space="preserve"> susceptible to volatility if future economic data reports miss consensus expectations. </w:t>
      </w:r>
    </w:p>
    <w:p w14:paraId="3346014D" w14:textId="77777777" w:rsidR="004E4C6C" w:rsidRDefault="004E4C6C" w:rsidP="009831DC">
      <w:pPr>
        <w:pStyle w:val="NoSpacing"/>
        <w:rPr>
          <w:rFonts w:ascii="Times New Roman" w:hAnsi="Times New Roman" w:cs="Times New Roman"/>
          <w:sz w:val="24"/>
          <w:szCs w:val="24"/>
        </w:rPr>
      </w:pPr>
    </w:p>
    <w:p w14:paraId="771862B2" w14:textId="00E02DB4" w:rsidR="001B2590" w:rsidRDefault="001B2590" w:rsidP="009831DC">
      <w:pPr>
        <w:pStyle w:val="NoSpacing"/>
        <w:rPr>
          <w:rFonts w:ascii="Times New Roman" w:hAnsi="Times New Roman" w:cs="Times New Roman"/>
          <w:sz w:val="24"/>
          <w:szCs w:val="24"/>
        </w:rPr>
      </w:pPr>
      <w:r>
        <w:rPr>
          <w:rFonts w:ascii="Times New Roman" w:hAnsi="Times New Roman" w:cs="Times New Roman"/>
          <w:sz w:val="24"/>
          <w:szCs w:val="24"/>
        </w:rPr>
        <w:t xml:space="preserve">Investment strategy should be based on a portfolio’s objectives, ability to tolerate volatility and its investment time horizon.  Assets you intend to utilize or spend in the near-term (i.e., 1-3 years) should be exposed to less risk.  Assets that can remain invested over a longer time frame (i.e., 4-5 years) should remain invested consistent with your investment goals and risk profile.  Successful investing is not about timing the market.  </w:t>
      </w:r>
      <w:r w:rsidR="00A950EA">
        <w:rPr>
          <w:rFonts w:ascii="Times New Roman" w:hAnsi="Times New Roman" w:cs="Times New Roman"/>
          <w:sz w:val="24"/>
          <w:szCs w:val="24"/>
        </w:rPr>
        <w:t>It’s</w:t>
      </w:r>
      <w:r>
        <w:rPr>
          <w:rFonts w:ascii="Times New Roman" w:hAnsi="Times New Roman" w:cs="Times New Roman"/>
          <w:sz w:val="24"/>
          <w:szCs w:val="24"/>
        </w:rPr>
        <w:t xml:space="preserve"> about being able to ride through the inevitable volatility that creates the opportunity for outsized returns.   </w:t>
      </w:r>
    </w:p>
    <w:p w14:paraId="2EFAADFD" w14:textId="69933CB2"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0DC2A3D9"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0849E696"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2C2B"/>
    <w:rsid w:val="000113D9"/>
    <w:rsid w:val="000113FC"/>
    <w:rsid w:val="00012621"/>
    <w:rsid w:val="00025C81"/>
    <w:rsid w:val="000308AC"/>
    <w:rsid w:val="00040CF3"/>
    <w:rsid w:val="00050ACE"/>
    <w:rsid w:val="000530C9"/>
    <w:rsid w:val="000537D5"/>
    <w:rsid w:val="0005489D"/>
    <w:rsid w:val="00071248"/>
    <w:rsid w:val="00081405"/>
    <w:rsid w:val="000A019B"/>
    <w:rsid w:val="000A32F4"/>
    <w:rsid w:val="000C4CD9"/>
    <w:rsid w:val="000E7E28"/>
    <w:rsid w:val="001016AD"/>
    <w:rsid w:val="00104E52"/>
    <w:rsid w:val="0010502A"/>
    <w:rsid w:val="00111810"/>
    <w:rsid w:val="0011538C"/>
    <w:rsid w:val="00120E64"/>
    <w:rsid w:val="00123782"/>
    <w:rsid w:val="00133B86"/>
    <w:rsid w:val="001458D0"/>
    <w:rsid w:val="0014709E"/>
    <w:rsid w:val="0016467A"/>
    <w:rsid w:val="00166869"/>
    <w:rsid w:val="001812CC"/>
    <w:rsid w:val="001815AC"/>
    <w:rsid w:val="00181872"/>
    <w:rsid w:val="001953DC"/>
    <w:rsid w:val="00195D7B"/>
    <w:rsid w:val="001A5D57"/>
    <w:rsid w:val="001B2590"/>
    <w:rsid w:val="001C1648"/>
    <w:rsid w:val="001C285E"/>
    <w:rsid w:val="0020574E"/>
    <w:rsid w:val="00216F84"/>
    <w:rsid w:val="0023300D"/>
    <w:rsid w:val="00244E9B"/>
    <w:rsid w:val="0024775C"/>
    <w:rsid w:val="002541F5"/>
    <w:rsid w:val="0025670C"/>
    <w:rsid w:val="0026281E"/>
    <w:rsid w:val="0026313A"/>
    <w:rsid w:val="00267A63"/>
    <w:rsid w:val="002707C7"/>
    <w:rsid w:val="002937A9"/>
    <w:rsid w:val="002948F0"/>
    <w:rsid w:val="002A5739"/>
    <w:rsid w:val="002B36A6"/>
    <w:rsid w:val="002B555E"/>
    <w:rsid w:val="002B55CA"/>
    <w:rsid w:val="002B60E3"/>
    <w:rsid w:val="002D0FF7"/>
    <w:rsid w:val="002E10EA"/>
    <w:rsid w:val="002E19B7"/>
    <w:rsid w:val="002F2DEC"/>
    <w:rsid w:val="002F4258"/>
    <w:rsid w:val="002F5A73"/>
    <w:rsid w:val="0030082B"/>
    <w:rsid w:val="00300AC6"/>
    <w:rsid w:val="003101B4"/>
    <w:rsid w:val="00310367"/>
    <w:rsid w:val="0031530D"/>
    <w:rsid w:val="00322786"/>
    <w:rsid w:val="00332A1C"/>
    <w:rsid w:val="003367EF"/>
    <w:rsid w:val="0034116D"/>
    <w:rsid w:val="003464BC"/>
    <w:rsid w:val="003562E4"/>
    <w:rsid w:val="00356D1E"/>
    <w:rsid w:val="003639DE"/>
    <w:rsid w:val="00363D12"/>
    <w:rsid w:val="0036430A"/>
    <w:rsid w:val="00380204"/>
    <w:rsid w:val="00380ADE"/>
    <w:rsid w:val="00381625"/>
    <w:rsid w:val="00390925"/>
    <w:rsid w:val="0039494E"/>
    <w:rsid w:val="003A549D"/>
    <w:rsid w:val="003B3184"/>
    <w:rsid w:val="003B5ADC"/>
    <w:rsid w:val="003C0589"/>
    <w:rsid w:val="003C2BE0"/>
    <w:rsid w:val="003C70E1"/>
    <w:rsid w:val="003D6BA0"/>
    <w:rsid w:val="003F2366"/>
    <w:rsid w:val="003F3636"/>
    <w:rsid w:val="00400858"/>
    <w:rsid w:val="00435229"/>
    <w:rsid w:val="0044291A"/>
    <w:rsid w:val="00445571"/>
    <w:rsid w:val="00463C95"/>
    <w:rsid w:val="004716B9"/>
    <w:rsid w:val="00471C08"/>
    <w:rsid w:val="004A0164"/>
    <w:rsid w:val="004A057B"/>
    <w:rsid w:val="004B0F2C"/>
    <w:rsid w:val="004D526C"/>
    <w:rsid w:val="004E0445"/>
    <w:rsid w:val="004E173E"/>
    <w:rsid w:val="004E4C6C"/>
    <w:rsid w:val="004F115F"/>
    <w:rsid w:val="004F7BAC"/>
    <w:rsid w:val="004F7D1B"/>
    <w:rsid w:val="005040C3"/>
    <w:rsid w:val="005050C3"/>
    <w:rsid w:val="005051EA"/>
    <w:rsid w:val="005067CF"/>
    <w:rsid w:val="00521269"/>
    <w:rsid w:val="00521849"/>
    <w:rsid w:val="005251C5"/>
    <w:rsid w:val="00527936"/>
    <w:rsid w:val="00531220"/>
    <w:rsid w:val="00535E59"/>
    <w:rsid w:val="005439AD"/>
    <w:rsid w:val="00547325"/>
    <w:rsid w:val="00557135"/>
    <w:rsid w:val="005661CE"/>
    <w:rsid w:val="00567DE6"/>
    <w:rsid w:val="00571836"/>
    <w:rsid w:val="005726DB"/>
    <w:rsid w:val="005731F7"/>
    <w:rsid w:val="005818D7"/>
    <w:rsid w:val="005821A0"/>
    <w:rsid w:val="0058302B"/>
    <w:rsid w:val="005855FF"/>
    <w:rsid w:val="005F2A95"/>
    <w:rsid w:val="005F4828"/>
    <w:rsid w:val="005F5F64"/>
    <w:rsid w:val="00615D52"/>
    <w:rsid w:val="00621D82"/>
    <w:rsid w:val="00632018"/>
    <w:rsid w:val="00644E0C"/>
    <w:rsid w:val="00645597"/>
    <w:rsid w:val="00645B22"/>
    <w:rsid w:val="0065052F"/>
    <w:rsid w:val="00662BD8"/>
    <w:rsid w:val="00665D42"/>
    <w:rsid w:val="0068091D"/>
    <w:rsid w:val="00682D2A"/>
    <w:rsid w:val="00685F0B"/>
    <w:rsid w:val="0069098F"/>
    <w:rsid w:val="0069341A"/>
    <w:rsid w:val="00693F71"/>
    <w:rsid w:val="006A5F64"/>
    <w:rsid w:val="006B45C0"/>
    <w:rsid w:val="006C1328"/>
    <w:rsid w:val="006C1AC3"/>
    <w:rsid w:val="006C5CAA"/>
    <w:rsid w:val="006D31C8"/>
    <w:rsid w:val="006D40F7"/>
    <w:rsid w:val="006D5673"/>
    <w:rsid w:val="006E1590"/>
    <w:rsid w:val="006E3AF1"/>
    <w:rsid w:val="006E4D61"/>
    <w:rsid w:val="006F323E"/>
    <w:rsid w:val="006F6644"/>
    <w:rsid w:val="006F6ECE"/>
    <w:rsid w:val="006F7E24"/>
    <w:rsid w:val="00706143"/>
    <w:rsid w:val="00712022"/>
    <w:rsid w:val="00716920"/>
    <w:rsid w:val="0072553A"/>
    <w:rsid w:val="0073733C"/>
    <w:rsid w:val="00740D31"/>
    <w:rsid w:val="0074670A"/>
    <w:rsid w:val="007567AB"/>
    <w:rsid w:val="007568B7"/>
    <w:rsid w:val="007641BE"/>
    <w:rsid w:val="007712BC"/>
    <w:rsid w:val="00773FFF"/>
    <w:rsid w:val="00780FBF"/>
    <w:rsid w:val="00781B3E"/>
    <w:rsid w:val="007852CC"/>
    <w:rsid w:val="007C2864"/>
    <w:rsid w:val="007C43F3"/>
    <w:rsid w:val="007C7F55"/>
    <w:rsid w:val="007E5321"/>
    <w:rsid w:val="007F4B69"/>
    <w:rsid w:val="007F78CA"/>
    <w:rsid w:val="008027E0"/>
    <w:rsid w:val="00806032"/>
    <w:rsid w:val="00810A01"/>
    <w:rsid w:val="008238DD"/>
    <w:rsid w:val="00824F22"/>
    <w:rsid w:val="008266D0"/>
    <w:rsid w:val="00831974"/>
    <w:rsid w:val="00834DBB"/>
    <w:rsid w:val="00846C7C"/>
    <w:rsid w:val="008628F9"/>
    <w:rsid w:val="00871A2B"/>
    <w:rsid w:val="00875F2F"/>
    <w:rsid w:val="008769BB"/>
    <w:rsid w:val="00884F80"/>
    <w:rsid w:val="00887779"/>
    <w:rsid w:val="00892AB8"/>
    <w:rsid w:val="00895999"/>
    <w:rsid w:val="00895E8C"/>
    <w:rsid w:val="008A2E90"/>
    <w:rsid w:val="008B1725"/>
    <w:rsid w:val="008B3E16"/>
    <w:rsid w:val="008B75A1"/>
    <w:rsid w:val="008C158C"/>
    <w:rsid w:val="008C1CCD"/>
    <w:rsid w:val="008C3EEF"/>
    <w:rsid w:val="008C70BA"/>
    <w:rsid w:val="008D0AC8"/>
    <w:rsid w:val="008D2A3E"/>
    <w:rsid w:val="008D6CF2"/>
    <w:rsid w:val="00902D6B"/>
    <w:rsid w:val="00922D2B"/>
    <w:rsid w:val="00943907"/>
    <w:rsid w:val="00950C92"/>
    <w:rsid w:val="0096112E"/>
    <w:rsid w:val="00961A8B"/>
    <w:rsid w:val="0096256D"/>
    <w:rsid w:val="00962A98"/>
    <w:rsid w:val="00963BE8"/>
    <w:rsid w:val="009831DC"/>
    <w:rsid w:val="009833FD"/>
    <w:rsid w:val="00994DAF"/>
    <w:rsid w:val="009A25FB"/>
    <w:rsid w:val="009A4B96"/>
    <w:rsid w:val="009A5DE6"/>
    <w:rsid w:val="009C282B"/>
    <w:rsid w:val="009C5FBB"/>
    <w:rsid w:val="009D2217"/>
    <w:rsid w:val="009D457E"/>
    <w:rsid w:val="009E0569"/>
    <w:rsid w:val="009E151E"/>
    <w:rsid w:val="009E7A6D"/>
    <w:rsid w:val="009F79AA"/>
    <w:rsid w:val="00A07783"/>
    <w:rsid w:val="00A175C2"/>
    <w:rsid w:val="00A23D74"/>
    <w:rsid w:val="00A30D24"/>
    <w:rsid w:val="00A37613"/>
    <w:rsid w:val="00A40941"/>
    <w:rsid w:val="00A51F11"/>
    <w:rsid w:val="00A557DD"/>
    <w:rsid w:val="00A56F44"/>
    <w:rsid w:val="00A748F8"/>
    <w:rsid w:val="00A92C0E"/>
    <w:rsid w:val="00A950EA"/>
    <w:rsid w:val="00AA0E8C"/>
    <w:rsid w:val="00AB0587"/>
    <w:rsid w:val="00AB0C47"/>
    <w:rsid w:val="00AB373D"/>
    <w:rsid w:val="00AB6B2C"/>
    <w:rsid w:val="00AD0CE8"/>
    <w:rsid w:val="00AD2401"/>
    <w:rsid w:val="00AD3861"/>
    <w:rsid w:val="00AE5157"/>
    <w:rsid w:val="00AF6C4D"/>
    <w:rsid w:val="00B201DE"/>
    <w:rsid w:val="00B25CDE"/>
    <w:rsid w:val="00B27AFF"/>
    <w:rsid w:val="00B500C2"/>
    <w:rsid w:val="00B53434"/>
    <w:rsid w:val="00B540FA"/>
    <w:rsid w:val="00B67819"/>
    <w:rsid w:val="00B713D7"/>
    <w:rsid w:val="00B7166E"/>
    <w:rsid w:val="00B7437E"/>
    <w:rsid w:val="00B76133"/>
    <w:rsid w:val="00B84D77"/>
    <w:rsid w:val="00BA0D99"/>
    <w:rsid w:val="00BA0FFB"/>
    <w:rsid w:val="00BD0BC3"/>
    <w:rsid w:val="00BD45ED"/>
    <w:rsid w:val="00BE2F9C"/>
    <w:rsid w:val="00BE3EA6"/>
    <w:rsid w:val="00BE6FD5"/>
    <w:rsid w:val="00BF3172"/>
    <w:rsid w:val="00C00B6F"/>
    <w:rsid w:val="00C05AF1"/>
    <w:rsid w:val="00C077ED"/>
    <w:rsid w:val="00C102B3"/>
    <w:rsid w:val="00C36765"/>
    <w:rsid w:val="00C41BCE"/>
    <w:rsid w:val="00C43CF4"/>
    <w:rsid w:val="00C544F1"/>
    <w:rsid w:val="00C70C26"/>
    <w:rsid w:val="00C85EE9"/>
    <w:rsid w:val="00C85F57"/>
    <w:rsid w:val="00CA146F"/>
    <w:rsid w:val="00CA2BE8"/>
    <w:rsid w:val="00CA657D"/>
    <w:rsid w:val="00CC1A59"/>
    <w:rsid w:val="00CC4733"/>
    <w:rsid w:val="00CC4756"/>
    <w:rsid w:val="00CE2154"/>
    <w:rsid w:val="00CE2A96"/>
    <w:rsid w:val="00CE5947"/>
    <w:rsid w:val="00CF259F"/>
    <w:rsid w:val="00CF3DC6"/>
    <w:rsid w:val="00D14DF6"/>
    <w:rsid w:val="00D15087"/>
    <w:rsid w:val="00D36653"/>
    <w:rsid w:val="00D52656"/>
    <w:rsid w:val="00D71932"/>
    <w:rsid w:val="00D761A2"/>
    <w:rsid w:val="00D77EC8"/>
    <w:rsid w:val="00D80A4D"/>
    <w:rsid w:val="00D83278"/>
    <w:rsid w:val="00D83C34"/>
    <w:rsid w:val="00D840B3"/>
    <w:rsid w:val="00DC260A"/>
    <w:rsid w:val="00DC31CF"/>
    <w:rsid w:val="00DC408C"/>
    <w:rsid w:val="00DC57D7"/>
    <w:rsid w:val="00DD4868"/>
    <w:rsid w:val="00DD61F4"/>
    <w:rsid w:val="00DE361C"/>
    <w:rsid w:val="00DF02DA"/>
    <w:rsid w:val="00DF1F33"/>
    <w:rsid w:val="00E11B83"/>
    <w:rsid w:val="00E31BB4"/>
    <w:rsid w:val="00E32FB9"/>
    <w:rsid w:val="00E33C1D"/>
    <w:rsid w:val="00E5279C"/>
    <w:rsid w:val="00E551CD"/>
    <w:rsid w:val="00E7200F"/>
    <w:rsid w:val="00E732BF"/>
    <w:rsid w:val="00E74EF8"/>
    <w:rsid w:val="00EA1DE7"/>
    <w:rsid w:val="00EA2435"/>
    <w:rsid w:val="00EB3652"/>
    <w:rsid w:val="00EC39D3"/>
    <w:rsid w:val="00EC7A4E"/>
    <w:rsid w:val="00ED1F7D"/>
    <w:rsid w:val="00EE327C"/>
    <w:rsid w:val="00EF3E0C"/>
    <w:rsid w:val="00EF762F"/>
    <w:rsid w:val="00F00507"/>
    <w:rsid w:val="00F03907"/>
    <w:rsid w:val="00F15380"/>
    <w:rsid w:val="00F175BE"/>
    <w:rsid w:val="00F21135"/>
    <w:rsid w:val="00F259DA"/>
    <w:rsid w:val="00F26BA0"/>
    <w:rsid w:val="00F3535A"/>
    <w:rsid w:val="00F369B5"/>
    <w:rsid w:val="00F37F6D"/>
    <w:rsid w:val="00F43AA7"/>
    <w:rsid w:val="00F80D20"/>
    <w:rsid w:val="00F80D54"/>
    <w:rsid w:val="00F82188"/>
    <w:rsid w:val="00F82BCD"/>
    <w:rsid w:val="00F82E4E"/>
    <w:rsid w:val="00F837C2"/>
    <w:rsid w:val="00FA0801"/>
    <w:rsid w:val="00FA1396"/>
    <w:rsid w:val="00FA34AF"/>
    <w:rsid w:val="00FB4BB6"/>
    <w:rsid w:val="00FC2709"/>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5</cp:revision>
  <dcterms:created xsi:type="dcterms:W3CDTF">2021-09-01T17:32:00Z</dcterms:created>
  <dcterms:modified xsi:type="dcterms:W3CDTF">2021-09-01T18:07:00Z</dcterms:modified>
</cp:coreProperties>
</file>